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</w:pP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  <w:t>新加坡南洋理工大学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Nanyang Technological University 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2暑期“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会计与商业估值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”在线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访学项目</w:t>
      </w: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inorHAnsi" w:hAnsiTheme="minorHAnsi" w:eastAsiaTheme="majorEastAsia" w:cstheme="minorHAnsi"/>
          <w:szCs w:val="21"/>
          <w:highlight w:val="none"/>
          <w:lang w:eastAsia="zh-CN"/>
        </w:rPr>
      </w:pPr>
      <w:r>
        <w:rPr>
          <w:rFonts w:hint="default" w:asciiTheme="minorHAnsi" w:hAnsiTheme="minorHAnsi" w:eastAsiaTheme="majorEastAsia" w:cstheme="minorHAnsi"/>
          <w:szCs w:val="21"/>
          <w:highlight w:val="none"/>
          <w:lang w:eastAsia="zh-CN"/>
        </w:rPr>
        <w:t>2022年6月27日-2022年7月24日</w:t>
      </w: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inorHAnsi" w:hAnsiTheme="minorHAnsi" w:eastAsiaTheme="majorEastAsia" w:cstheme="minorHAnsi"/>
          <w:szCs w:val="21"/>
          <w:highlight w:val="none"/>
          <w:lang w:eastAsia="zh-CN"/>
        </w:rPr>
      </w:pP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本项目是由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新加坡顶尖名校南洋理工大学开设的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暑期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在线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专业学术课程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旨在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帮助学生扩大专业领域知识，从新思想中获得灵感，并通过与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南洋理工大学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导师的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在线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互动获得真实的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南洋理工大学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学习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体验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。授课老师通过直播平台与学生实时在线互动，使学生能体验到与线下面授课程同样的课堂知识深度，同时让学生足不出国即可体验到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NTU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的优质教育资源。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</w:pPr>
      <w:r>
        <w:drawing>
          <wp:inline distT="0" distB="0" distL="114300" distR="114300">
            <wp:extent cx="5486400" cy="2953385"/>
            <wp:effectExtent l="0" t="0" r="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【足不出户体验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CN"/>
        </w:rPr>
        <w:t>顶级名校教育资源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在线课程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由全球一流大学的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导师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亲自授课，为国际学生提供优质的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在线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专业学术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课程，让学生足不出国即可体验到优秀的教学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资源</w:t>
      </w:r>
      <w:r>
        <w:rPr>
          <w:rFonts w:hint="eastAsia" w:asciiTheme="minorHAnsi" w:hAnsiTheme="minorHAnsi" w:eastAsiaTheme="majorEastAsia" w:cstheme="minorHAnsi"/>
          <w:kern w:val="0"/>
          <w:szCs w:val="21"/>
          <w:lang w:eastAsia="zh-CN"/>
        </w:rPr>
        <w:t>。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【实时真人授课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eastAsia="zh-CN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课程通过 ZOOM 平台实时授课，同时结合在线互动环节，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使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学生能体验到与线下面授课程同样的课堂知识深度；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CN"/>
        </w:rPr>
        <w:t>全英课堂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通过全英课堂交流，不仅可以锻炼英语听说读写全方面能力，还能参与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导师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的实时课堂互动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和学术指导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，课后也能复习查阅课程资料；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证书&amp;推荐信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顺利完成项目后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可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获得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南洋理工大学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项目证书和成绩评定报告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，为个人简历添砖加瓦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；表现优秀的小组还可获得学校颁发的推荐信！</w:t>
      </w:r>
    </w:p>
    <w:p>
      <w:pPr>
        <w:pStyle w:val="17"/>
        <w:widowControl/>
        <w:spacing w:line="360" w:lineRule="auto"/>
        <w:ind w:left="840" w:firstLine="0"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南洋理工大学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创建于19</w:t>
      </w:r>
      <w:r>
        <w:rPr>
          <w:rFonts w:hint="default" w:asciiTheme="minorHAnsi" w:hAnsiTheme="minorHAnsi" w:cstheme="minorHAnsi"/>
          <w:kern w:val="0"/>
          <w:szCs w:val="21"/>
        </w:rPr>
        <w:t>81</w:t>
      </w:r>
      <w:r>
        <w:rPr>
          <w:rFonts w:hint="eastAsia" w:asciiTheme="minorHAnsi" w:hAnsiTheme="minorHAnsi" w:cstheme="minorHAnsi"/>
          <w:kern w:val="0"/>
          <w:szCs w:val="21"/>
        </w:rPr>
        <w:t>年，是新加坡的一所世界著名研究型大学。南大是环太平洋大学联盟、全球大学校长论坛、新工科教育国际联盟成员，全球高校人工智能学术联盟创始成员、AACSB认证成员、国际事务专业学院协会（APSIA）成员，也是国际科技大学联盟的发起成员。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作为新加坡的</w:t>
      </w:r>
      <w:r>
        <w:rPr>
          <w:rFonts w:hint="default" w:asciiTheme="minorHAnsi" w:hAnsiTheme="minorHAnsi" w:eastAsiaTheme="majorEastAsia" w:cstheme="minorHAnsi"/>
          <w:szCs w:val="21"/>
        </w:rPr>
        <w:t>一所</w:t>
      </w:r>
      <w:r>
        <w:rPr>
          <w:rFonts w:hint="eastAsia" w:asciiTheme="minorHAnsi" w:hAnsiTheme="minorHAnsi" w:eastAsiaTheme="majorEastAsia" w:cstheme="minorHAnsi"/>
          <w:szCs w:val="21"/>
        </w:rPr>
        <w:t>科研密集型大学，</w:t>
      </w:r>
      <w:r>
        <w:rPr>
          <w:rFonts w:hint="default" w:asciiTheme="minorHAnsi" w:hAnsiTheme="minorHAnsi" w:eastAsiaTheme="majorEastAsia" w:cstheme="minorHAnsi"/>
          <w:szCs w:val="21"/>
        </w:rPr>
        <w:t>南洋理工</w:t>
      </w:r>
      <w:r>
        <w:rPr>
          <w:rFonts w:hint="eastAsia" w:asciiTheme="minorHAnsi" w:hAnsiTheme="minorHAnsi" w:eastAsiaTheme="majorEastAsia" w:cstheme="minorHAnsi"/>
          <w:szCs w:val="21"/>
        </w:rPr>
        <w:t>在纳米材料、生物材料、功能性陶瓷和高分子材料等许多领域的研究享有世界盛名，为工科和商科并重的综合性大学。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202</w:t>
      </w:r>
      <w:r>
        <w:rPr>
          <w:rFonts w:hint="default" w:asciiTheme="minorHAnsi" w:hAnsiTheme="minorHAnsi" w:eastAsiaTheme="majorEastAsia" w:cstheme="minorHAnsi"/>
          <w:szCs w:val="21"/>
          <w:lang w:eastAsia="zh-CN"/>
        </w:rPr>
        <w:t>2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 xml:space="preserve"> QS世界大学排名第12位；QS世界最佳年轻大学连续五年排名第1；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202</w:t>
      </w:r>
      <w:r>
        <w:rPr>
          <w:rFonts w:hint="default" w:asciiTheme="minorHAnsi" w:hAnsiTheme="minorHAnsi" w:eastAsiaTheme="majorEastAsia" w:cstheme="minorHAnsi"/>
          <w:szCs w:val="21"/>
        </w:rPr>
        <w:t>2</w:t>
      </w:r>
      <w:r>
        <w:rPr>
          <w:rFonts w:hint="eastAsia" w:asciiTheme="minorHAnsi" w:hAnsiTheme="minorHAnsi" w:eastAsiaTheme="majorEastAsia" w:cstheme="minorHAnsi"/>
          <w:szCs w:val="21"/>
        </w:rPr>
        <w:t xml:space="preserve"> US News世界大学排名第</w:t>
      </w:r>
      <w:r>
        <w:rPr>
          <w:rFonts w:hint="default" w:asciiTheme="minorHAnsi" w:hAnsiTheme="minorHAnsi" w:eastAsiaTheme="majorEastAsia" w:cstheme="minorHAnsi"/>
          <w:szCs w:val="21"/>
        </w:rPr>
        <w:t>33</w:t>
      </w:r>
      <w:r>
        <w:rPr>
          <w:rFonts w:hint="eastAsia" w:asciiTheme="minorHAnsi" w:hAnsiTheme="minorHAnsi" w:eastAsiaTheme="majorEastAsia" w:cstheme="minorHAnsi"/>
          <w:szCs w:val="21"/>
        </w:rPr>
        <w:t>位；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2021 US News能源与燃料、纳米科学、材料科学学科世界排名第1位；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cs="Calibri" w:asciiTheme="minorHAnsi" w:hAnsiTheme="minorHAnsi"/>
          <w:szCs w:val="21"/>
          <w:lang w:val="en-US" w:eastAsia="zh-Hans"/>
        </w:rPr>
      </w:pPr>
      <w:r>
        <w:rPr>
          <w:rFonts w:hint="default" w:asciiTheme="minorHAnsi" w:hAnsiTheme="minorHAnsi" w:eastAsiaTheme="majorEastAsia" w:cstheme="minorHAnsi"/>
          <w:szCs w:val="21"/>
          <w:highlight w:val="none"/>
          <w:lang w:eastAsia="zh-CN"/>
        </w:rPr>
        <w:t>2022年6月27日-2022年7月24日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CN"/>
        </w:rPr>
        <w:t>（</w:t>
      </w:r>
      <w:r>
        <w:rPr>
          <w:rFonts w:hint="eastAsia" w:cs="Calibri" w:asciiTheme="minorHAnsi" w:hAnsiTheme="minorHAnsi"/>
          <w:szCs w:val="21"/>
          <w:lang w:val="en-US" w:eastAsia="zh-Hans"/>
        </w:rPr>
        <w:t>四</w:t>
      </w:r>
      <w:r>
        <w:rPr>
          <w:rFonts w:cs="Calibri" w:asciiTheme="minorHAnsi" w:hAnsiTheme="minorHAnsi"/>
          <w:szCs w:val="21"/>
        </w:rPr>
        <w:t>周</w:t>
      </w:r>
      <w:r>
        <w:rPr>
          <w:rFonts w:cs="Calibri" w:asciiTheme="minorHAnsi" w:hAnsiTheme="minorHAnsi"/>
          <w:szCs w:val="21"/>
        </w:rPr>
        <w:t>）</w:t>
      </w:r>
      <w:r>
        <w:rPr>
          <w:rFonts w:cs="Calibri" w:asciiTheme="minorHAnsi" w:hAnsiTheme="minorHAnsi"/>
          <w:szCs w:val="21"/>
        </w:rPr>
        <w:t>，</w:t>
      </w:r>
      <w:bookmarkStart w:id="0" w:name="_GoBack"/>
      <w:bookmarkEnd w:id="0"/>
      <w:r>
        <w:rPr>
          <w:rFonts w:cs="Calibri" w:asciiTheme="minorHAnsi" w:hAnsiTheme="minorHAnsi"/>
          <w:szCs w:val="21"/>
        </w:rPr>
        <w:t>共24</w:t>
      </w:r>
      <w:r>
        <w:rPr>
          <w:rFonts w:hint="eastAsia" w:cs="Calibri" w:asciiTheme="minorHAnsi" w:hAnsiTheme="minorHAnsi"/>
          <w:szCs w:val="21"/>
          <w:lang w:val="en-US" w:eastAsia="zh-Hans"/>
        </w:rPr>
        <w:t>小时</w:t>
      </w: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</w:pPr>
      <w:r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  <w:t>本课程是关于会计以及企业财务报告信息的分析。会计包括复式记账、试算表和财务报告。课程详细研究了基本分析技术，特别强调了这些技术在股权（股份）估值决策中的应用。课程包括三个相关部分。第一部分概述了基本分析框架中的四个基本步骤：业务分析、会计分析、财务分析和前瞻性分析。第二部分结合这些技能来解决估值问题</w:t>
      </w:r>
      <w:r>
        <w:rPr>
          <w:rFonts w:hint="default" w:eastAsia="宋体" w:asciiTheme="minorHAnsi" w:hAnsiTheme="minorHAnsi" w:cstheme="minorHAnsi"/>
          <w:sz w:val="21"/>
          <w:szCs w:val="21"/>
          <w:shd w:val="clear" w:color="auto" w:fill="FFFFFF"/>
          <w:lang w:eastAsia="zh-Hans"/>
        </w:rPr>
        <w:t>。</w:t>
      </w:r>
      <w:r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  <w:t>最后一部分将这些技能应用于几个不同的环境中，例如信用分析、证券分析、并购和金融政策决策。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0" w:rightChars="0"/>
        <w:jc w:val="both"/>
        <w:textAlignment w:val="auto"/>
        <w:outlineLvl w:val="9"/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</w:pPr>
      <w:r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  <w:t>课程目标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</w:pPr>
      <w:r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  <w:t>1.根据国际估值标准（IVS）准备商业估值报告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</w:pPr>
      <w:r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  <w:t>2.了解IVS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</w:pPr>
      <w:r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val="en-US" w:eastAsia="zh-Hans"/>
        </w:rPr>
        <w:t>3. 学习对企业进行估值的三种方法：现金流折现法、市场估值法和资产基础估值法。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0" w:rightChars="0"/>
        <w:jc w:val="both"/>
        <w:textAlignment w:val="auto"/>
        <w:outlineLvl w:val="9"/>
        <w:rPr>
          <w:rFonts w:hint="eastAsia" w:eastAsia="宋体" w:asciiTheme="minorHAnsi" w:hAnsiTheme="minorHAnsi" w:cstheme="minorHAnsi"/>
          <w:sz w:val="21"/>
          <w:szCs w:val="21"/>
          <w:shd w:val="clear" w:color="auto" w:fill="FFFFFF"/>
          <w:lang w:eastAsia="zh-CN"/>
        </w:rPr>
      </w:pPr>
      <w:r>
        <w:rPr>
          <w:rFonts w:hint="default" w:eastAsia="宋体" w:asciiTheme="minorHAnsi" w:hAnsiTheme="minorHAnsi" w:cstheme="minorHAnsi"/>
          <w:b/>
          <w:bCs/>
          <w:sz w:val="21"/>
          <w:szCs w:val="21"/>
          <w:shd w:val="clear" w:color="auto" w:fill="FFFFFF"/>
          <w:lang w:eastAsia="zh-CN"/>
        </w:rPr>
        <w:t>课程主题</w:t>
      </w:r>
      <w:r>
        <w:rPr>
          <w:rFonts w:hint="default" w:ascii="宋体" w:hAnsi="宋体" w:eastAsia="宋体" w:cs="宋体"/>
          <w:b/>
          <w:bCs/>
          <w:iCs/>
          <w:lang w:eastAsia="zh-CN"/>
        </w:rPr>
        <w:t>（仅供参考，由授课导师根据实际情况调整）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4620"/>
      </w:tblGrid>
      <w:tr>
        <w:tc>
          <w:tcPr>
            <w:tcW w:w="1650" w:type="dxa"/>
            <w:shd w:val="clear" w:color="auto" w:fill="D7D7D7" w:themeFill="background1" w:themeFillShade="D8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</w:p>
        </w:tc>
        <w:tc>
          <w:tcPr>
            <w:tcW w:w="4620" w:type="dxa"/>
            <w:shd w:val="clear" w:color="auto" w:fill="D7D7D7" w:themeFill="background1" w:themeFillShade="D8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  <w:t>课程主题</w:t>
            </w:r>
          </w:p>
        </w:tc>
      </w:tr>
      <w:tr>
        <w:tc>
          <w:tcPr>
            <w:tcW w:w="165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  <w:t>主题一</w:t>
            </w:r>
          </w:p>
        </w:tc>
        <w:tc>
          <w:tcPr>
            <w:tcW w:w="462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lang w:val="en-US" w:eastAsia="zh-Hans"/>
              </w:rPr>
              <w:t>会计基础，复式，试算表，财务报告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5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  <w:t>主题二</w:t>
            </w:r>
          </w:p>
        </w:tc>
        <w:tc>
          <w:tcPr>
            <w:tcW w:w="462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lang w:val="en-US" w:eastAsia="zh-Hans"/>
              </w:rPr>
              <w:t>债务成本、股权成本和资本成本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5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  <w:t>主题三</w:t>
            </w:r>
          </w:p>
        </w:tc>
        <w:tc>
          <w:tcPr>
            <w:tcW w:w="462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lang w:val="en-US" w:eastAsia="zh-Hans"/>
              </w:rPr>
              <w:t>商业估值方法 1：折现现金流法、自由现金流公司和自由现金流权益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5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  <w:t>主题四</w:t>
            </w:r>
          </w:p>
        </w:tc>
        <w:tc>
          <w:tcPr>
            <w:tcW w:w="462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lang w:val="en-US" w:eastAsia="zh-Hans"/>
              </w:rPr>
              <w:t>商业估值法2：市场估值法和商业估值法</w:t>
            </w:r>
          </w:p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lang w:val="en-US" w:eastAsia="zh-Hans"/>
              </w:rPr>
              <w:t>3：基于资产的估值法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5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  <w:t>主题五</w:t>
            </w:r>
          </w:p>
        </w:tc>
        <w:tc>
          <w:tcPr>
            <w:tcW w:w="462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lang w:val="en-US" w:eastAsia="zh-Hans"/>
              </w:rPr>
              <w:t>企业估值报告、代表报告、企业价值和股权价值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5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  <w:t>主题六</w:t>
            </w:r>
          </w:p>
        </w:tc>
        <w:tc>
          <w:tcPr>
            <w:tcW w:w="4620" w:type="dxa"/>
          </w:tcPr>
          <w:p>
            <w:pPr>
              <w:pStyle w:val="18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Cs/>
                <w:vertAlign w:val="baseline"/>
                <w:lang w:val="en-US" w:eastAsia="zh-Hans"/>
              </w:rPr>
              <w:t>学生分组演讲展示</w:t>
            </w:r>
          </w:p>
        </w:tc>
      </w:tr>
    </w:tbl>
    <w:p>
      <w:pPr>
        <w:pStyle w:val="18"/>
        <w:numPr>
          <w:ilvl w:val="0"/>
          <w:numId w:val="0"/>
        </w:numPr>
        <w:ind w:leftChars="0"/>
        <w:rPr>
          <w:rFonts w:hint="eastAsia" w:ascii="宋体" w:hAnsi="宋体" w:eastAsia="宋体" w:cs="宋体"/>
          <w:iCs/>
          <w:lang w:val="en-US" w:eastAsia="zh-Hans"/>
        </w:rPr>
      </w:pPr>
    </w:p>
    <w:p>
      <w:pPr>
        <w:pStyle w:val="18"/>
        <w:numPr>
          <w:ilvl w:val="0"/>
          <w:numId w:val="0"/>
        </w:numPr>
        <w:ind w:leftChars="0"/>
        <w:rPr>
          <w:rFonts w:ascii="Times New Roman" w:hAnsi="Times New Roman" w:eastAsia="文鼎CS仿宋体" w:cs="Times New Roman"/>
          <w:b/>
          <w:bCs/>
          <w:iCs/>
          <w:lang w:eastAsia="zh-CN"/>
        </w:rPr>
      </w:pPr>
      <w:r>
        <w:rPr>
          <w:rFonts w:ascii="Times New Roman" w:hAnsi="Times New Roman" w:eastAsia="文鼎CS仿宋体" w:cs="Times New Roman"/>
          <w:b/>
          <w:bCs/>
          <w:iCs/>
          <w:lang w:eastAsia="zh-CN"/>
        </w:rPr>
        <w:t>【</w:t>
      </w:r>
      <w:r>
        <w:rPr>
          <w:rFonts w:hint="eastAsia" w:ascii="Times New Roman" w:hAnsi="Times New Roman" w:eastAsia="文鼎CS仿宋体" w:cs="Times New Roman"/>
          <w:b/>
          <w:bCs/>
          <w:iCs/>
          <w:lang w:val="en-US" w:eastAsia="zh-Hans"/>
        </w:rPr>
        <w:t>授课导师</w:t>
      </w:r>
      <w:r>
        <w:rPr>
          <w:rFonts w:ascii="Times New Roman" w:hAnsi="Times New Roman" w:eastAsia="文鼎CS仿宋体" w:cs="Times New Roman"/>
          <w:b/>
          <w:bCs/>
          <w:iCs/>
          <w:lang w:eastAsia="zh-CN"/>
        </w:rPr>
        <w:t>】（暂定）</w:t>
      </w:r>
    </w:p>
    <w:p>
      <w:pPr>
        <w:pStyle w:val="18"/>
        <w:numPr>
          <w:ilvl w:val="0"/>
          <w:numId w:val="0"/>
        </w:numPr>
        <w:ind w:leftChars="0"/>
        <w:rPr>
          <w:rFonts w:ascii="Times New Roman" w:hAnsi="Times New Roman" w:eastAsia="文鼎CS仿宋体" w:cs="Times New Roman"/>
          <w:b/>
          <w:bCs/>
          <w:iCs/>
          <w:lang w:eastAsia="zh-CN"/>
        </w:rPr>
      </w:pPr>
      <w:r>
        <w:drawing>
          <wp:inline distT="0" distB="0" distL="114300" distR="114300">
            <wp:extent cx="775335" cy="1240790"/>
            <wp:effectExtent l="0" t="0" r="1206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Teoh Teik Toe博士目前是南洋理工大学南洋商学院的高级讲师，教授人工智能学科。 他还是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南洋理工大学商学院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商业分析硕士学术主任。他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在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大数据、深度学习、网络安全、人工智能、机器学习和软件开发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等领域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拥有超过 25 年的研究经验。他还在人工智能、数据科学与分析、统计、商业、金融、会计和法律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等领域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拥有超过15年的教学经验。</w:t>
      </w:r>
    </w:p>
    <w:p>
      <w:pPr>
        <w:spacing w:line="360" w:lineRule="auto"/>
        <w:ind w:firstLine="420" w:firstLineChars="200"/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他拥有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南洋理工大学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计算机工程博士学位，纽卡斯尔大学工商管理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硕士和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博士学位</w:t>
      </w:r>
      <w:r>
        <w:rPr>
          <w:rFonts w:hint="default" w:asciiTheme="minorHAnsi" w:hAnsiTheme="minorHAnsi" w:cstheme="minorHAnsi"/>
          <w:kern w:val="2"/>
          <w:sz w:val="21"/>
          <w:szCs w:val="21"/>
          <w:shd w:val="clear" w:color="auto" w:fill="FFFFFF"/>
          <w:lang w:eastAsia="zh-CN" w:bidi="ar-SA"/>
        </w:rPr>
        <w:t>、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新加坡国立大学法学硕士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学位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，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伦敦大学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法学学士和法学硕士学位。他还是CFA、ACCA、CIMA、新加坡特许会计师和马来西亚特许会计师的特许持有人。此外</w:t>
      </w:r>
      <w:r>
        <w:rPr>
          <w:rFonts w:hint="default" w:asciiTheme="minorHAnsi" w:hAnsiTheme="minorHAnsi" w:cstheme="minorHAnsi"/>
          <w:kern w:val="2"/>
          <w:sz w:val="21"/>
          <w:szCs w:val="21"/>
          <w:shd w:val="clear" w:color="auto" w:fill="FFFFFF"/>
          <w:lang w:eastAsia="zh-CN" w:bidi="ar-SA"/>
        </w:rPr>
        <w:t>，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他自2004年起担任上市公司董事，市值超过10亿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马来西亚币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。他也是门萨的成员。</w:t>
      </w:r>
    </w:p>
    <w:p>
      <w:pPr>
        <w:spacing w:line="360" w:lineRule="auto"/>
        <w:ind w:firstLine="420" w:firstLineChars="200"/>
        <w:rPr>
          <w:rFonts w:hint="eastAsia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</w:pP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default" w:asciiTheme="minorHAnsi" w:hAnsiTheme="minorHAnsi" w:eastAsiaTheme="majorEastAsia" w:cstheme="minorHAnsi"/>
          <w:szCs w:val="21"/>
        </w:rPr>
        <w:t>南洋理工大学</w:t>
      </w:r>
      <w:r>
        <w:rPr>
          <w:rFonts w:hint="eastAsia" w:asciiTheme="minorHAnsi" w:hAnsiTheme="minorHAnsi" w:eastAsiaTheme="majorEastAsia" w:cstheme="minorHAnsi"/>
          <w:szCs w:val="21"/>
        </w:rPr>
        <w:t>在线项目的学生将由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学校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</w:t>
      </w:r>
      <w:r>
        <w:rPr>
          <w:rFonts w:asciiTheme="minorHAnsi" w:hAnsiTheme="minorHAnsi" w:eastAsiaTheme="majorEastAsia" w:cstheme="minorHAnsi"/>
          <w:szCs w:val="21"/>
        </w:rPr>
        <w:t>顺利完成</w:t>
      </w:r>
      <w:r>
        <w:rPr>
          <w:rFonts w:hint="eastAsia" w:asciiTheme="minorHAnsi" w:hAnsiTheme="minorHAnsi" w:eastAsiaTheme="majorEastAsia" w:cstheme="minorHAnsi"/>
          <w:szCs w:val="21"/>
        </w:rPr>
        <w:t>学业后，学生可</w:t>
      </w:r>
      <w:r>
        <w:rPr>
          <w:rFonts w:asciiTheme="minorHAnsi" w:hAnsiTheme="minorHAnsi" w:eastAsiaTheme="majorEastAsia" w:cstheme="minorHAnsi"/>
          <w:szCs w:val="21"/>
        </w:rPr>
        <w:t>获得南洋理工大学</w:t>
      </w:r>
      <w:r>
        <w:rPr>
          <w:rFonts w:hint="eastAsia" w:asciiTheme="minorHAnsi" w:hAnsiTheme="minorHAnsi" w:eastAsiaTheme="majorEastAsia" w:cstheme="minorHAnsi"/>
          <w:szCs w:val="21"/>
        </w:rPr>
        <w:t>正式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的</w:t>
      </w:r>
      <w:r>
        <w:rPr>
          <w:rFonts w:hint="eastAsia" w:asciiTheme="minorHAnsi" w:hAnsiTheme="minorHAnsi" w:eastAsiaTheme="majorEastAsia" w:cstheme="minorHAnsi"/>
          <w:szCs w:val="21"/>
        </w:rPr>
        <w:t>项目证书</w:t>
      </w:r>
      <w:r>
        <w:rPr>
          <w:rFonts w:hint="default" w:asciiTheme="minorHAnsi" w:hAnsiTheme="minorHAnsi" w:eastAsiaTheme="majorEastAsia" w:cstheme="minorHAnsi"/>
          <w:szCs w:val="21"/>
        </w:rPr>
        <w:t>和成绩评定报告，优秀小组还可获得推荐信</w:t>
      </w:r>
      <w:r>
        <w:rPr>
          <w:rFonts w:hint="eastAsia" w:asciiTheme="minorHAnsi" w:hAnsiTheme="minorHAnsi" w:eastAsiaTheme="majorEastAsia" w:cstheme="minorHAnsi"/>
          <w:szCs w:val="21"/>
        </w:rPr>
        <w:t>。</w:t>
      </w:r>
    </w:p>
    <w:p>
      <w:pPr>
        <w:widowControl/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1642745" cy="187325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08760" cy="1886585"/>
            <wp:effectExtent l="0" t="0" r="1524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15110" cy="1887855"/>
            <wp:effectExtent l="0" t="0" r="8890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</w:pPr>
      <w:r>
        <w:t>南洋理工大学最佳小组证明（图1）&amp;成绩评定报告（图2、3）样本</w:t>
      </w:r>
    </w:p>
    <w:p>
      <w:pPr>
        <w:widowControl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114300" distR="114300">
            <wp:extent cx="2802255" cy="1915795"/>
            <wp:effectExtent l="0" t="0" r="17145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default" w:asciiTheme="minorHAnsi" w:hAnsiTheme="minorHAnsi" w:eastAsiaTheme="majorEastAsia" w:cstheme="minorHAnsi"/>
          <w:szCs w:val="21"/>
        </w:rPr>
        <w:t>南洋理工大学项目证书样本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3"/>
        <w:tblW w:w="84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0"/>
        <w:gridCol w:w="6551"/>
      </w:tblGrid>
      <w:tr>
        <w:trPr>
          <w:trHeight w:val="477" w:hRule="atLeast"/>
        </w:trPr>
        <w:tc>
          <w:tcPr>
            <w:tcW w:w="1910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551" w:type="dxa"/>
            <w:vAlign w:val="top"/>
          </w:tcPr>
          <w:p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CN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CN"/>
              </w:rPr>
              <w:t>4980元人民币</w:t>
            </w:r>
          </w:p>
        </w:tc>
      </w:tr>
      <w:tr>
        <w:tc>
          <w:tcPr>
            <w:tcW w:w="1910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费用包括：</w:t>
            </w:r>
          </w:p>
        </w:tc>
        <w:tc>
          <w:tcPr>
            <w:tcW w:w="6551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CN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课程学费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</w:rPr>
              <w:t>线上大学资源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项目设计与管理费</w:t>
            </w:r>
          </w:p>
        </w:tc>
      </w:tr>
    </w:tbl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五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7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Cs w:val="21"/>
          <w:lang w:val="en-US" w:eastAsia="zh-CN"/>
        </w:rPr>
        <w:t>202</w:t>
      </w:r>
      <w:r>
        <w:rPr>
          <w:rFonts w:hint="default" w:ascii="Calibri" w:hAnsi="Calibri" w:cs="Calibri"/>
          <w:szCs w:val="21"/>
          <w:lang w:eastAsia="zh-CN"/>
        </w:rPr>
        <w:t>2暑期南洋理工大学“</w:t>
      </w:r>
      <w:r>
        <w:rPr>
          <w:rFonts w:hint="eastAsia" w:ascii="Calibri" w:hAnsi="Calibri" w:cs="Calibri"/>
          <w:szCs w:val="21"/>
          <w:lang w:val="en-US" w:eastAsia="zh-Hans"/>
        </w:rPr>
        <w:t>会计与商业估值</w:t>
      </w:r>
      <w:r>
        <w:rPr>
          <w:rFonts w:hint="default" w:ascii="Calibri" w:hAnsi="Calibri" w:cs="Calibri"/>
          <w:szCs w:val="21"/>
          <w:lang w:eastAsia="zh-CN"/>
        </w:rPr>
        <w:t>”</w:t>
      </w:r>
      <w:r>
        <w:rPr>
          <w:rFonts w:hint="eastAsia" w:ascii="Calibri" w:hAnsi="Calibri" w:cs="Calibri"/>
          <w:szCs w:val="21"/>
        </w:rPr>
        <w:t>在线访学项目选拔名额为</w:t>
      </w:r>
      <w:r>
        <w:rPr>
          <w:rFonts w:hint="default" w:ascii="Calibri" w:hAnsi="Calibri" w:cs="Calibri"/>
          <w:szCs w:val="21"/>
        </w:rPr>
        <w:t>40</w:t>
      </w:r>
      <w:r>
        <w:rPr>
          <w:rFonts w:hint="eastAsia" w:ascii="Calibri" w:hAnsi="Calibri" w:cs="Calibri"/>
          <w:szCs w:val="21"/>
        </w:rPr>
        <w:t>名。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  <w:lang w:val="en-US" w:eastAsia="zh-Hans"/>
        </w:rPr>
        <w:t>首批</w:t>
      </w:r>
      <w:r>
        <w:rPr>
          <w:rFonts w:asciiTheme="minorHAnsi" w:hAnsiTheme="minorHAnsi" w:eastAsiaTheme="majorEastAsia" w:cstheme="minorHAnsi"/>
          <w:b/>
          <w:kern w:val="0"/>
          <w:szCs w:val="21"/>
        </w:rPr>
        <w:t>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2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4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月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30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日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全日制本科生及研究生，成绩优异、道德品质好，在校期间未受过纪律处分，身心健康，能顺利完成在线学习任务；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  <w:r>
        <w:rPr>
          <w:rFonts w:hint="default" w:asciiTheme="minorHAnsi" w:hAnsiTheme="minorHAnsi" w:eastAsiaTheme="majorEastAsia" w:cstheme="minorHAnsi"/>
          <w:szCs w:val="21"/>
        </w:rPr>
        <w:t>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  <w:highlight w:val="none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 xml:space="preserve"> 具有良好的英语基础，通过项目方英文面试；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家庭具有一定经济基础，能够提供访学所需学杂费；</w:t>
      </w:r>
    </w:p>
    <w:p>
      <w:pPr>
        <w:pStyle w:val="17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项目申请录取方式和报名流程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  <w:highlight w:val="none"/>
        </w:rPr>
        <w:t>学生本人提出申请，在学校国际合作交流处（外事处）报名；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学生需通过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https://ks.wjx.top/vj/Q8paJDX.aspx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或扫描下方二维码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2022暑期&amp;秋季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pStyle w:val="17"/>
        <w:numPr>
          <w:ilvl w:val="0"/>
          <w:numId w:val="0"/>
        </w:numPr>
        <w:spacing w:line="360" w:lineRule="auto"/>
        <w:ind w:left="210" w:leftChars="0"/>
        <w:jc w:val="left"/>
        <w:rPr>
          <w:rFonts w:hint="default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 xml:space="preserve">    </w:t>
      </w:r>
      <w:r>
        <w:rPr>
          <w:rFonts w:hint="default" w:ascii="宋体" w:hAnsi="宋体" w:cs="宋体"/>
          <w:kern w:val="0"/>
          <w:szCs w:val="21"/>
        </w:rPr>
        <w:drawing>
          <wp:inline distT="0" distB="0" distL="114300" distR="114300">
            <wp:extent cx="1619250" cy="16192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Calibri" w:hAnsi="Calibri" w:cs="Calibri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项目咨询：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谭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老师</w:t>
      </w:r>
      <w:r>
        <w:rPr>
          <w:rFonts w:hint="default" w:asciiTheme="minorHAnsi" w:hAnsiTheme="minorHAnsi" w:eastAsiaTheme="majorEastAsia" w:cstheme="minorHAnsi"/>
          <w:szCs w:val="21"/>
          <w:lang w:eastAsia="zh-CN"/>
        </w:rPr>
        <w:t xml:space="preserve"> 15968151974（</w:t>
      </w:r>
      <w:r>
        <w:rPr>
          <w:rFonts w:hint="eastAsia" w:ascii="Calibri" w:hAnsi="Calibri" w:cs="Calibri"/>
          <w:szCs w:val="21"/>
          <w:lang w:val="en-US" w:eastAsia="zh-CN"/>
        </w:rPr>
        <w:t>微信同号</w:t>
      </w:r>
      <w:r>
        <w:rPr>
          <w:rFonts w:hint="default" w:ascii="Calibri" w:hAnsi="Calibri" w:cs="Calibri"/>
          <w:szCs w:val="21"/>
          <w:lang w:eastAsia="zh-CN"/>
        </w:rPr>
        <w:t>）</w:t>
      </w:r>
    </w:p>
    <w:p>
      <w:pPr>
        <w:pStyle w:val="17"/>
        <w:numPr>
          <w:ilvl w:val="0"/>
          <w:numId w:val="0"/>
        </w:numPr>
        <w:spacing w:line="360" w:lineRule="auto"/>
        <w:ind w:left="210" w:leftChars="0"/>
        <w:jc w:val="left"/>
        <w:rPr>
          <w:rFonts w:hint="eastAsia" w:ascii="Calibri" w:hAnsi="Calibri" w:cs="Calibri"/>
          <w:szCs w:val="21"/>
          <w:lang w:val="en-US" w:eastAsia="zh-CN"/>
        </w:rPr>
      </w:pP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Confetti">
    <w:altName w:val="苹方-简"/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文鼎CS仿宋体">
    <w:altName w:val="苹方-简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KW 55S">
    <w:altName w:val="苹方-简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汉仪君黑KW">
    <w:altName w:val="苹方-简"/>
    <w:panose1 w:val="00020600040101010101"/>
    <w:charset w:val="86"/>
    <w:family w:val="auto"/>
    <w:pitch w:val="default"/>
    <w:sig w:usb0="00000000" w:usb1="00000000" w:usb2="00000016" w:usb3="00000000" w:csb0="0004000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TimesNewRomanPSMT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TimesNewRomanPS-BoldMT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HYShuSongEr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 Bold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DejaVa 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undefine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MT Extra">
    <w:altName w:val="Kingsoft Extra"/>
    <w:panose1 w:val="05050102010205020202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ymbol">
    <w:altName w:val="Kingsoft Sign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Batang">
    <w:altName w:val="Apple SD Gothic Neo"/>
    <w:panose1 w:val="02030600000101010101"/>
    <w:charset w:val="00"/>
    <w:family w:val="auto"/>
    <w:pitch w:val="default"/>
    <w:sig w:usb0="00000000" w:usb1="00000000" w:usb2="00000010" w:usb3="00000000" w:csb0="00080000" w:csb1="00000000"/>
  </w:font>
  <w:font w:name="Century">
    <w:altName w:val="苹方-简"/>
    <w:panose1 w:val="02040604050505020304"/>
    <w:charset w:val="00"/>
    <w:family w:val="roman"/>
    <w:pitch w:val="default"/>
    <w:sig w:usb0="00000000" w:usb1="00000000" w:usb2="00000000" w:usb3="00000000" w:csb0="0000009F" w:csb1="0000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SymbolM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Extra">
    <w:panose1 w:val="05050102010205020202"/>
    <w:charset w:val="00"/>
    <w:family w:val="auto"/>
    <w:pitch w:val="default"/>
    <w:sig w:usb0="00000000" w:usb1="10000000" w:usb2="00000000" w:usb3="00000000" w:csb0="0000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2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230966"/>
    <w:rsid w:val="01BE4759"/>
    <w:rsid w:val="07EF826E"/>
    <w:rsid w:val="0B6F57A1"/>
    <w:rsid w:val="10FE5437"/>
    <w:rsid w:val="117E90B9"/>
    <w:rsid w:val="12DD5E6D"/>
    <w:rsid w:val="175F0F9E"/>
    <w:rsid w:val="1EEBDBB8"/>
    <w:rsid w:val="278B188D"/>
    <w:rsid w:val="2B9056E6"/>
    <w:rsid w:val="2BE70F09"/>
    <w:rsid w:val="32F469A7"/>
    <w:rsid w:val="3697705D"/>
    <w:rsid w:val="370C2528"/>
    <w:rsid w:val="37EDD707"/>
    <w:rsid w:val="37F79871"/>
    <w:rsid w:val="38905E46"/>
    <w:rsid w:val="3BEE5142"/>
    <w:rsid w:val="3D8E3307"/>
    <w:rsid w:val="3ED7E381"/>
    <w:rsid w:val="3FFE0823"/>
    <w:rsid w:val="4663199C"/>
    <w:rsid w:val="4D1F133E"/>
    <w:rsid w:val="51C30BE7"/>
    <w:rsid w:val="54420BCB"/>
    <w:rsid w:val="5A5FFDC4"/>
    <w:rsid w:val="5A913141"/>
    <w:rsid w:val="5C6857E1"/>
    <w:rsid w:val="5E7F0F86"/>
    <w:rsid w:val="5EBD3670"/>
    <w:rsid w:val="5ECFB61D"/>
    <w:rsid w:val="5EF78CCE"/>
    <w:rsid w:val="5FB36FDD"/>
    <w:rsid w:val="5FBF3683"/>
    <w:rsid w:val="5FDF4265"/>
    <w:rsid w:val="6B3110EF"/>
    <w:rsid w:val="6F45AD00"/>
    <w:rsid w:val="6FFFFCE2"/>
    <w:rsid w:val="73678B2D"/>
    <w:rsid w:val="76E71A1A"/>
    <w:rsid w:val="76FA639B"/>
    <w:rsid w:val="7BFF9751"/>
    <w:rsid w:val="7D6771EC"/>
    <w:rsid w:val="7DC3E268"/>
    <w:rsid w:val="7F124915"/>
    <w:rsid w:val="7F7B9D8B"/>
    <w:rsid w:val="7FEB65A4"/>
    <w:rsid w:val="83FE43CA"/>
    <w:rsid w:val="8EDB6162"/>
    <w:rsid w:val="8FF779D1"/>
    <w:rsid w:val="9FBA1AF8"/>
    <w:rsid w:val="A7DD673C"/>
    <w:rsid w:val="ABE79006"/>
    <w:rsid w:val="AD49CE24"/>
    <w:rsid w:val="B86F5818"/>
    <w:rsid w:val="BDFB682A"/>
    <w:rsid w:val="BEBA9CCE"/>
    <w:rsid w:val="BFBD4D67"/>
    <w:rsid w:val="C3FF0C2D"/>
    <w:rsid w:val="CBFB393C"/>
    <w:rsid w:val="D5C96C14"/>
    <w:rsid w:val="F8B3340E"/>
    <w:rsid w:val="F9BE26E0"/>
    <w:rsid w:val="FA3D8A55"/>
    <w:rsid w:val="FA571BFF"/>
    <w:rsid w:val="FB3FF5BE"/>
    <w:rsid w:val="FBBD3DD1"/>
    <w:rsid w:val="FBDB0F71"/>
    <w:rsid w:val="FBF97BB9"/>
    <w:rsid w:val="FD6EC4A6"/>
    <w:rsid w:val="FDAEFEB8"/>
    <w:rsid w:val="FDED9A34"/>
    <w:rsid w:val="FF4F08B8"/>
    <w:rsid w:val="FF6FBC8C"/>
    <w:rsid w:val="FF9FFD8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9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qFormat/>
    <w:uiPriority w:val="0"/>
    <w:rPr>
      <w:b/>
      <w:bCs/>
    </w:rPr>
  </w:style>
  <w:style w:type="character" w:styleId="11">
    <w:name w:val="Hyperlink"/>
    <w:qFormat/>
    <w:uiPriority w:val="0"/>
    <w:rPr>
      <w:color w:val="0068B7"/>
      <w:u w:val="none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141"/>
    <w:qFormat/>
    <w:uiPriority w:val="0"/>
    <w:rPr>
      <w:sz w:val="21"/>
      <w:szCs w:val="21"/>
    </w:rPr>
  </w:style>
  <w:style w:type="character" w:customStyle="1" w:styleId="15">
    <w:name w:val="ztag pre"/>
    <w:basedOn w:val="9"/>
    <w:qFormat/>
    <w:uiPriority w:val="0"/>
  </w:style>
  <w:style w:type="character" w:customStyle="1" w:styleId="16">
    <w:name w:val="已访问的超链接1"/>
    <w:qFormat/>
    <w:uiPriority w:val="0"/>
    <w:rPr>
      <w:color w:val="800080"/>
      <w:u w:val="single"/>
    </w:rPr>
  </w:style>
  <w:style w:type="paragraph" w:customStyle="1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x_msonormal"/>
    <w:basedOn w:val="1"/>
    <w:qFormat/>
    <w:uiPriority w:val="99"/>
    <w:pPr>
      <w:spacing w:after="0" w:line="240" w:lineRule="auto"/>
    </w:pPr>
    <w:rPr>
      <w:rFonts w:ascii="Calibri" w:hAnsi="Calibri" w:eastAsia="Calibri" w:cs="Calibri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2972</Words>
  <Characters>3302</Characters>
  <Lines>29</Lines>
  <Paragraphs>8</Paragraphs>
  <ScaleCrop>false</ScaleCrop>
  <LinksUpToDate>false</LinksUpToDate>
  <CharactersWithSpaces>3345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2020-05-02T05:27:00Z</dcterms:created>
  <dc:creator>全美国际教育协会</dc:creator>
  <cp:lastModifiedBy>tanlili</cp:lastModifiedBy>
  <cp:lastPrinted>2011-12-26T00:54:00Z</cp:lastPrinted>
  <dcterms:modified xsi:type="dcterms:W3CDTF">2022-03-31T16:29:41Z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  <property fmtid="{D5CDD505-2E9C-101B-9397-08002B2CF9AE}" pid="3" name="ICV">
    <vt:lpwstr>83E6F8EB6C6B410F9AB67185A338CFD2</vt:lpwstr>
  </property>
</Properties>
</file>